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2105"/>
        <w:gridCol w:w="1384"/>
        <w:gridCol w:w="2126"/>
        <w:gridCol w:w="1983"/>
      </w:tblGrid>
      <w:tr w:rsidR="00E00B93" w:rsidTr="00722A50">
        <w:trPr>
          <w:trHeight w:val="29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B93" w:rsidRDefault="00E00B93" w:rsidP="00B457DD">
            <w:pPr>
              <w:spacing w:after="0"/>
              <w:rPr>
                <w:rFonts w:ascii="Times New Roman" w:hAnsi="Times New Roman"/>
                <w:bCs/>
                <w:caps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00B93" w:rsidRDefault="00E00B93" w:rsidP="00B457DD">
            <w:pPr>
              <w:spacing w:after="0"/>
              <w:rPr>
                <w:rFonts w:ascii="Times New Roman" w:hAnsi="Times New Roman"/>
                <w:bCs/>
                <w:caps/>
                <w:szCs w:val="20"/>
              </w:rPr>
            </w:pPr>
          </w:p>
        </w:tc>
        <w:tc>
          <w:tcPr>
            <w:tcW w:w="4109" w:type="dxa"/>
            <w:gridSpan w:val="2"/>
            <w:vMerge w:val="restart"/>
            <w:tcBorders>
              <w:top w:val="nil"/>
              <w:left w:val="nil"/>
              <w:right w:val="nil"/>
            </w:tcBorders>
            <w:hideMark/>
          </w:tcPr>
          <w:p w:rsidR="007E5BC2" w:rsidRDefault="00722A50" w:rsidP="00722A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7E5BC2">
              <w:rPr>
                <w:rFonts w:ascii="Times New Roman" w:hAnsi="Times New Roman"/>
                <w:sz w:val="24"/>
                <w:szCs w:val="24"/>
              </w:rPr>
              <w:t>Ы</w:t>
            </w:r>
            <w:bookmarkStart w:id="0" w:name="_GoBack"/>
            <w:bookmarkEnd w:id="0"/>
          </w:p>
          <w:p w:rsidR="00722A50" w:rsidRPr="00722A50" w:rsidRDefault="00722A50" w:rsidP="00722A5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A50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Протоколом  заседания комиссии </w:t>
            </w:r>
            <w:proofErr w:type="gramStart"/>
            <w:r w:rsidRPr="00722A50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  <w:r w:rsidRPr="00722A5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</w:t>
            </w:r>
          </w:p>
          <w:p w:rsidR="00722A50" w:rsidRPr="00722A50" w:rsidRDefault="00722A50" w:rsidP="00722A5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A50">
              <w:rPr>
                <w:rFonts w:ascii="Times New Roman" w:hAnsi="Times New Roman"/>
                <w:bCs/>
                <w:sz w:val="24"/>
                <w:szCs w:val="24"/>
              </w:rPr>
              <w:t xml:space="preserve">предупреждению коррупции </w:t>
            </w:r>
            <w:proofErr w:type="gramStart"/>
            <w:r w:rsidRPr="00722A5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  <w:p w:rsidR="00E00B93" w:rsidRPr="00A408BE" w:rsidRDefault="00722A50" w:rsidP="00722A5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A50">
              <w:rPr>
                <w:rFonts w:ascii="Times New Roman" w:hAnsi="Times New Roman"/>
                <w:bCs/>
                <w:sz w:val="24"/>
                <w:szCs w:val="24"/>
              </w:rPr>
              <w:t>ОКУ «ГА</w:t>
            </w:r>
            <w:r w:rsidR="00722B15">
              <w:rPr>
                <w:rFonts w:ascii="Times New Roman" w:hAnsi="Times New Roman"/>
                <w:bCs/>
                <w:sz w:val="24"/>
                <w:szCs w:val="24"/>
              </w:rPr>
              <w:t>НИ</w:t>
            </w:r>
            <w:r w:rsidRPr="00722A50">
              <w:rPr>
                <w:rFonts w:ascii="Times New Roman" w:hAnsi="Times New Roman"/>
                <w:bCs/>
                <w:sz w:val="24"/>
                <w:szCs w:val="24"/>
              </w:rPr>
              <w:t>ДЛС ЛО»</w:t>
            </w:r>
          </w:p>
        </w:tc>
      </w:tr>
      <w:tr w:rsidR="00373848" w:rsidTr="00373848">
        <w:trPr>
          <w:cantSplit/>
          <w:trHeight w:val="996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48" w:rsidRDefault="00373848" w:rsidP="00B457DD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nil"/>
            </w:tcBorders>
          </w:tcPr>
          <w:p w:rsidR="00373848" w:rsidRDefault="00373848" w:rsidP="00B457DD">
            <w:pPr>
              <w:spacing w:after="0"/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4109" w:type="dxa"/>
            <w:gridSpan w:val="2"/>
            <w:vMerge/>
            <w:tcBorders>
              <w:left w:val="nil"/>
              <w:bottom w:val="nil"/>
              <w:right w:val="nil"/>
            </w:tcBorders>
            <w:hideMark/>
          </w:tcPr>
          <w:p w:rsidR="00373848" w:rsidRPr="00A408BE" w:rsidRDefault="00373848" w:rsidP="00B457D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3848" w:rsidTr="00206B17">
        <w:trPr>
          <w:gridAfter w:val="1"/>
          <w:wAfter w:w="1983" w:type="dxa"/>
          <w:trHeight w:val="459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373848" w:rsidRDefault="00373848" w:rsidP="00A408BE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373848" w:rsidRDefault="00373848" w:rsidP="00A408BE">
            <w:pPr>
              <w:pStyle w:val="3"/>
              <w:rPr>
                <w:bCs w:val="0"/>
              </w:rPr>
            </w:pPr>
          </w:p>
        </w:tc>
        <w:tc>
          <w:tcPr>
            <w:tcW w:w="1384" w:type="dxa"/>
            <w:vMerge/>
            <w:tcBorders>
              <w:left w:val="nil"/>
              <w:bottom w:val="nil"/>
              <w:right w:val="nil"/>
            </w:tcBorders>
          </w:tcPr>
          <w:p w:rsidR="00373848" w:rsidRDefault="00373848" w:rsidP="00A408BE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3848" w:rsidRPr="00A408BE" w:rsidRDefault="00722B15" w:rsidP="00722B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17</w:t>
            </w:r>
            <w:r w:rsidR="0037384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 w:rsidR="0037384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373848">
              <w:rPr>
                <w:rFonts w:ascii="Times New Roman" w:hAnsi="Times New Roman"/>
                <w:bCs/>
                <w:sz w:val="24"/>
                <w:szCs w:val="24"/>
              </w:rPr>
              <w:t xml:space="preserve"> №2 </w:t>
            </w:r>
          </w:p>
        </w:tc>
      </w:tr>
      <w:tr w:rsidR="00373848" w:rsidTr="00722A50">
        <w:trPr>
          <w:gridAfter w:val="2"/>
          <w:wAfter w:w="4109" w:type="dxa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48" w:rsidRDefault="00373848" w:rsidP="00A408BE">
            <w:pPr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73848" w:rsidRDefault="00373848" w:rsidP="00A408BE">
            <w:pPr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</w:tr>
    </w:tbl>
    <w:p w:rsidR="00401346" w:rsidRDefault="00401346" w:rsidP="001A1E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A408BE" w:rsidRDefault="00A408BE" w:rsidP="001A1E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373848" w:rsidRDefault="00373848" w:rsidP="001A1E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1A1EE5" w:rsidRPr="007269A5" w:rsidRDefault="001A1EE5" w:rsidP="00B457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269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Правила, регламентирующие вопросы обмена</w:t>
      </w:r>
    </w:p>
    <w:p w:rsidR="001A1EE5" w:rsidRPr="007269A5" w:rsidRDefault="001A1EE5" w:rsidP="004013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269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деловыми подарками и</w:t>
      </w:r>
    </w:p>
    <w:p w:rsidR="001A1EE5" w:rsidRPr="007269A5" w:rsidRDefault="001A1EE5" w:rsidP="004013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269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знаками делового гостеприимства</w:t>
      </w:r>
      <w:r w:rsidR="00722A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ОКУ «Государственный архив </w:t>
      </w:r>
      <w:r w:rsidR="004836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новейшей истории и </w:t>
      </w:r>
      <w:r w:rsidR="00722A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документов по личному составу Липецкой области»</w:t>
      </w:r>
    </w:p>
    <w:p w:rsidR="00A408BE" w:rsidRPr="007269A5" w:rsidRDefault="00A408BE" w:rsidP="00722A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53CC6" w:rsidRPr="00A408BE" w:rsidRDefault="00053CC6" w:rsidP="004013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A1EE5" w:rsidRPr="007269A5" w:rsidRDefault="001A1EE5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69A5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7269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053CC6" w:rsidRPr="007269A5" w:rsidRDefault="00053CC6" w:rsidP="007269A5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4BF0" w:rsidRPr="007269A5" w:rsidRDefault="00053CC6" w:rsidP="00483661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1.1.  </w:t>
      </w:r>
      <w:r w:rsidR="001A1EE5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Правила,  регламентирующие  вопросы  обмена  деловыми   подарками  и  знаками делового    гостеприимства</w:t>
      </w:r>
      <w:r w:rsidR="00A408BE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(далее – Правила)</w:t>
      </w:r>
      <w:r w:rsidR="004E7CF8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08BE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ОКУ «Государственный архив </w:t>
      </w:r>
      <w:r w:rsidR="00483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новейшей истории и </w:t>
      </w:r>
      <w:r w:rsidR="00A408BE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документов по личному составу Липецкой области»</w:t>
      </w:r>
      <w:r w:rsidR="004E7CF8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архив) </w:t>
      </w:r>
      <w:r w:rsidR="001A1EE5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разработаны в соответствии </w:t>
      </w:r>
      <w:r w:rsidR="004E7CF8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="00722A50">
        <w:rPr>
          <w:rFonts w:ascii="Times New Roman" w:hAnsi="Times New Roman"/>
        </w:rPr>
        <w:t xml:space="preserve">положениями </w:t>
      </w:r>
      <w:hyperlink r:id="rId7" w:history="1">
        <w:r w:rsidR="00722A50" w:rsidRPr="00722A50">
          <w:rPr>
            <w:rStyle w:val="ac"/>
            <w:rFonts w:ascii="Times New Roman" w:hAnsi="Times New Roman"/>
            <w:color w:val="auto"/>
          </w:rPr>
          <w:t>Конституции</w:t>
        </w:r>
      </w:hyperlink>
      <w:r w:rsidR="00722A50" w:rsidRPr="00722A50">
        <w:rPr>
          <w:rFonts w:ascii="Times New Roman" w:hAnsi="Times New Roman"/>
        </w:rPr>
        <w:t xml:space="preserve"> </w:t>
      </w:r>
      <w:r w:rsidR="00722A50">
        <w:rPr>
          <w:rFonts w:ascii="Times New Roman" w:hAnsi="Times New Roman"/>
        </w:rPr>
        <w:t>Российской Федерации, ф</w:t>
      </w:r>
      <w:r w:rsidR="001A1EE5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едеральн</w:t>
      </w:r>
      <w:r w:rsidR="004E7CF8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="001A1EE5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</w:t>
      </w:r>
      <w:r w:rsidR="004E7CF8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722A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1A1EE5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25.12.2008 №273-ФЗ «О противодействии коррупции», </w:t>
      </w:r>
      <w:r w:rsidR="00084BF0" w:rsidRPr="007269A5">
        <w:rPr>
          <w:rFonts w:ascii="Times New Roman" w:hAnsi="Times New Roman"/>
          <w:sz w:val="24"/>
          <w:szCs w:val="24"/>
        </w:rPr>
        <w:t xml:space="preserve">Кодексом этики и служебного поведения работников </w:t>
      </w:r>
      <w:r w:rsidR="00084BF0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архив</w:t>
      </w:r>
      <w:r w:rsidR="004E7CF8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 w:rsidR="001A1EE5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084BF0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основаны на общепризнанных нравственных принципах и нормах российского общества и государства.</w:t>
      </w:r>
    </w:p>
    <w:p w:rsidR="001A1EE5" w:rsidRPr="007269A5" w:rsidRDefault="00053CC6" w:rsidP="004836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1A1EE5"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1.2. </w:t>
      </w:r>
      <w:r w:rsidR="00084BF0" w:rsidRPr="007269A5">
        <w:rPr>
          <w:rFonts w:ascii="Times New Roman" w:hAnsi="Times New Roman"/>
          <w:color w:val="000000"/>
          <w:sz w:val="24"/>
          <w:szCs w:val="24"/>
          <w:lang w:eastAsia="ru-RU"/>
        </w:rPr>
        <w:t>Правила о</w:t>
      </w:r>
      <w:r w:rsidR="00084BF0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пределяют единые для всех работников архива требования к дарению и принятию деловых подарков</w:t>
      </w:r>
      <w:r w:rsidR="001A1EE5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 зависимости от занимаемой должности.</w:t>
      </w:r>
    </w:p>
    <w:p w:rsidR="008409E8" w:rsidRPr="007269A5" w:rsidRDefault="008409E8" w:rsidP="004836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Деловые подарки – это важный элемент деловых коммуникаций, способствующий созданию атмосферы доверия между коллегами и деловыми партнерами, а также налаживанию и развитию между ними доброжелательных отношений.</w:t>
      </w:r>
    </w:p>
    <w:p w:rsidR="00053CC6" w:rsidRPr="007269A5" w:rsidRDefault="00053CC6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84BF0" w:rsidRPr="007269A5" w:rsidRDefault="00084BF0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269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Цели</w:t>
      </w:r>
    </w:p>
    <w:p w:rsidR="00084BF0" w:rsidRPr="007269A5" w:rsidRDefault="00084BF0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A1EE5" w:rsidRPr="007269A5" w:rsidRDefault="00053CC6" w:rsidP="007269A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084BF0" w:rsidRPr="007269A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1A1EE5" w:rsidRPr="007269A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084BF0" w:rsidRPr="007269A5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1A1EE5"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084BF0" w:rsidRPr="007269A5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1A1EE5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астоящи</w:t>
      </w:r>
      <w:r w:rsidR="00084BF0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1A1EE5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</w:t>
      </w:r>
      <w:r w:rsidR="00734A18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 w:rsidR="001A1EE5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имеют</w:t>
      </w:r>
      <w:r w:rsidR="00084BF0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следующие цели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1A1EE5" w:rsidRPr="007269A5" w:rsidRDefault="00053CC6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- </w:t>
      </w:r>
      <w:r w:rsidR="001A1EE5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понимания роли и места деловых подарков, делового гостеприимства, представительских мероприятий в </w:t>
      </w:r>
      <w:r w:rsidR="00B80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 архива</w:t>
      </w:r>
      <w:r w:rsidR="001A1EE5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A1EE5" w:rsidRPr="007269A5" w:rsidRDefault="00053CC6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-</w:t>
      </w:r>
      <w:r w:rsidR="001A1EE5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минимизирование рисков, связанных с возможн</w:t>
      </w:r>
      <w:r w:rsidR="001340D1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остью подкупа, взяточничества, протекционизма внутри архива</w:t>
      </w:r>
      <w:r w:rsidR="001A1EE5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340D1" w:rsidRPr="007269A5" w:rsidRDefault="00053CC6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- </w:t>
      </w:r>
      <w:r w:rsidR="001340D1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единых для всех работников архива требований к дарению и принятию деловых подарков;</w:t>
      </w:r>
    </w:p>
    <w:p w:rsidR="00053CC6" w:rsidRPr="007269A5" w:rsidRDefault="00053CC6" w:rsidP="007269A5">
      <w:pPr>
        <w:tabs>
          <w:tab w:val="left" w:pos="709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B457DD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1340D1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осуществление деятельности архива исключительно на основе </w:t>
      </w:r>
      <w:r w:rsidR="008409E8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принцип</w:t>
      </w:r>
      <w:r w:rsidR="00B80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="008409E8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защиты качества работ, услуг, недопущения конфликт</w:t>
      </w:r>
      <w:r w:rsidR="00B457DD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8409E8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интересов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A1EE5" w:rsidRPr="007269A5" w:rsidRDefault="007269A5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="001A1EE5" w:rsidRPr="007269A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1A1EE5" w:rsidRPr="007269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Правила обмена деловыми подарками и знаками делового гостеприимства</w:t>
      </w:r>
    </w:p>
    <w:p w:rsidR="00505E72" w:rsidRPr="007269A5" w:rsidRDefault="00505E72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457DD" w:rsidRPr="007269A5" w:rsidRDefault="00B457DD" w:rsidP="007269A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7269A5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053CC6" w:rsidRPr="007269A5">
        <w:rPr>
          <w:rFonts w:ascii="Times New Roman" w:hAnsi="Times New Roman"/>
          <w:color w:val="000000"/>
          <w:sz w:val="24"/>
          <w:szCs w:val="24"/>
          <w:lang w:eastAsia="ru-RU"/>
        </w:rPr>
        <w:t>.1.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Работнику архива вне зависимости от занимаемой должности запрещается получать вознаграждения   от   физических   и юридических    лиц    (подарки,    денежное    вознаграждение,    ссуды,    услуги,    оплат</w:t>
      </w:r>
      <w:r w:rsidR="00B80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развлечений,   отдыха,   транспортных   расходов   и  </w:t>
      </w:r>
      <w:r w:rsidR="00B80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др.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в связи   с   исполнением им</w:t>
      </w:r>
      <w:r w:rsidR="00B80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должностных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обязанностей.   Запрет   не распространяется на случаи получения работником подарков в связи с протокольными мероприятиями,</w:t>
      </w:r>
      <w:r w:rsidR="00175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r w:rsidR="00175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служебными     командировками,     с     другими     официальными мероприятиями   и   иные   случаи,   </w:t>
      </w:r>
      <w:r w:rsidR="00640E55" w:rsidRPr="007269A5">
        <w:rPr>
          <w:rFonts w:ascii="Times New Roman" w:hAnsi="Times New Roman"/>
          <w:color w:val="000000"/>
          <w:sz w:val="24"/>
          <w:szCs w:val="24"/>
          <w:lang w:eastAsia="ru-RU"/>
        </w:rPr>
        <w:t>если это не противоречит требованиям антикоррупционного законодательства РФ, настоящим Правилам.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457DD" w:rsidRPr="007269A5" w:rsidRDefault="00B457DD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</w:t>
      </w:r>
      <w:r w:rsidR="007269A5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>.2.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Деловые    </w:t>
      </w:r>
      <w:r w:rsidR="00B80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подарки 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должны рассматриваться работниками архива только как инструмент для установления  и  поддержания деловых  отношений  и  как  проявление  общепринятой вежливости.</w:t>
      </w:r>
    </w:p>
    <w:p w:rsidR="00734A18" w:rsidRPr="007269A5" w:rsidRDefault="00B457DD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7269A5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734A18" w:rsidRPr="007269A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640E55" w:rsidRPr="007269A5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734A18" w:rsidRPr="007269A5">
        <w:rPr>
          <w:rFonts w:ascii="Times New Roman" w:hAnsi="Times New Roman"/>
          <w:color w:val="000000"/>
          <w:sz w:val="24"/>
          <w:szCs w:val="24"/>
          <w:lang w:eastAsia="ru-RU"/>
        </w:rPr>
        <w:t>. Подарки и услуги передаются  и принимаются   только от имени архива в целом, а не как  подарок или передача от отдельного работника архива.</w:t>
      </w:r>
    </w:p>
    <w:p w:rsidR="00640E55" w:rsidRPr="007269A5" w:rsidRDefault="00640E55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</w:t>
      </w: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>.4</w:t>
      </w:r>
      <w:r w:rsidR="009E280A" w:rsidRPr="007269A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Подарки, которые работники от имени архива могут передавать другим лицам или принимать от имени архива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640E55" w:rsidRPr="007269A5" w:rsidRDefault="00640E55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</w:t>
      </w:r>
      <w:proofErr w:type="gramStart"/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быть прямо связаны</w:t>
      </w:r>
      <w:proofErr w:type="gramEnd"/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уставными целями деятельности</w:t>
      </w:r>
      <w:r w:rsidR="00B80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архива,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либо с памятными датами, юбилеями, общенациональными праздниками и т.п.;</w:t>
      </w:r>
    </w:p>
    <w:p w:rsidR="00640E55" w:rsidRPr="007269A5" w:rsidRDefault="00640E55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быть разумно обоснованными, соразмерными и не являться предметами роскоши;</w:t>
      </w:r>
    </w:p>
    <w:p w:rsidR="00640E55" w:rsidRPr="007269A5" w:rsidRDefault="00640E55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  либо попытку оказать влияние на получателя с иной незаконной или неэтичной целью;</w:t>
      </w:r>
    </w:p>
    <w:p w:rsidR="00640E55" w:rsidRPr="007269A5" w:rsidRDefault="00640E55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создавать </w:t>
      </w:r>
      <w:proofErr w:type="spellStart"/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репутационного</w:t>
      </w:r>
      <w:proofErr w:type="spellEnd"/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риска для архива</w:t>
      </w:r>
      <w:r w:rsidR="00B80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работников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40E55" w:rsidRPr="007269A5" w:rsidRDefault="00640E55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противоречить принципам и требованиям </w:t>
      </w:r>
      <w:r w:rsidR="00B80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действующего</w:t>
      </w:r>
      <w:r w:rsidR="00B80713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законодательств</w:t>
      </w:r>
      <w:r w:rsidR="00B80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а,</w:t>
      </w:r>
      <w:r w:rsidR="00B80713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антикоррупционной политики архива,</w:t>
      </w:r>
      <w:r w:rsidR="00B80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другим внутренним документам </w:t>
      </w:r>
      <w:r w:rsidR="00B80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архива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общепринятым нормам морали и нравственности.</w:t>
      </w:r>
    </w:p>
    <w:p w:rsidR="009E280A" w:rsidRPr="007269A5" w:rsidRDefault="00640E55" w:rsidP="007269A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7269A5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>.5</w:t>
      </w:r>
      <w:r w:rsidR="009E280A" w:rsidRPr="007269A5">
        <w:rPr>
          <w:rFonts w:ascii="Times New Roman" w:hAnsi="Times New Roman"/>
          <w:color w:val="000000"/>
          <w:sz w:val="24"/>
          <w:szCs w:val="24"/>
          <w:lang w:eastAsia="ru-RU"/>
        </w:rPr>
        <w:t>. Для установления и поддержания деловых отношений и как проявление общепринятой вежливости работники архива могут презентовать третьим лицам и получать от них представительские подарки. Под представительскими подарками понимаются сувенирная продукция (в том числе с логотипом архива), цветы, кондитерские изделия и аналогичная продукция.</w:t>
      </w:r>
    </w:p>
    <w:p w:rsidR="009E280A" w:rsidRPr="007269A5" w:rsidRDefault="00640E55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</w:t>
      </w:r>
      <w:r w:rsidR="009E280A" w:rsidRPr="007269A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9E280A" w:rsidRPr="007269A5">
        <w:rPr>
          <w:rFonts w:ascii="Times New Roman" w:hAnsi="Times New Roman"/>
          <w:color w:val="000000"/>
          <w:sz w:val="24"/>
          <w:szCs w:val="24"/>
          <w:lang w:eastAsia="ru-RU"/>
        </w:rPr>
        <w:t>. При получении делового подарка или знаков делового гостеприимства работник архива обязан принять меры по недопущению возможности возникновения конфликта интересов.</w:t>
      </w:r>
    </w:p>
    <w:p w:rsidR="00BF6636" w:rsidRPr="007269A5" w:rsidRDefault="00640E55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7269A5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BF6636" w:rsidRPr="007269A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="00BF6636" w:rsidRPr="007269A5">
        <w:rPr>
          <w:rFonts w:ascii="Times New Roman" w:hAnsi="Times New Roman"/>
          <w:color w:val="000000"/>
          <w:sz w:val="24"/>
          <w:szCs w:val="24"/>
          <w:lang w:eastAsia="ru-RU"/>
        </w:rPr>
        <w:t>.Работники архива не вправе использовать служебное положение в личных целях.</w:t>
      </w:r>
    </w:p>
    <w:p w:rsidR="00BF6636" w:rsidRPr="007269A5" w:rsidRDefault="00640E55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7269A5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BF6636" w:rsidRPr="007269A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BF6636" w:rsidRPr="007269A5">
        <w:rPr>
          <w:rFonts w:ascii="Times New Roman" w:hAnsi="Times New Roman"/>
          <w:color w:val="000000"/>
          <w:sz w:val="24"/>
          <w:szCs w:val="24"/>
          <w:lang w:eastAsia="ru-RU"/>
        </w:rPr>
        <w:t>. Работникам архива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совет.</w:t>
      </w:r>
    </w:p>
    <w:p w:rsidR="000C65EF" w:rsidRPr="007269A5" w:rsidRDefault="00640E55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3</w:t>
      </w:r>
      <w:r w:rsidR="00BF6636" w:rsidRPr="007269A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BF6636"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Работники архива должны отказываться от предложений получения подарков, когда подобные действия могут повлиять или создать впечатление о влиянии на исход сделки, </w:t>
      </w:r>
      <w:r w:rsidR="000C65EF" w:rsidRPr="007269A5">
        <w:rPr>
          <w:rFonts w:ascii="Times New Roman" w:hAnsi="Times New Roman"/>
          <w:color w:val="000000"/>
          <w:sz w:val="24"/>
          <w:szCs w:val="24"/>
          <w:lang w:eastAsia="ru-RU"/>
        </w:rPr>
        <w:t>результата проведения торгов, на принимаемые архивом решения и т.д.</w:t>
      </w:r>
    </w:p>
    <w:p w:rsidR="000C65EF" w:rsidRPr="007269A5" w:rsidRDefault="00640E55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3</w:t>
      </w:r>
      <w:r w:rsidR="000C65EF" w:rsidRPr="007269A5">
        <w:rPr>
          <w:rFonts w:ascii="Times New Roman" w:hAnsi="Times New Roman"/>
          <w:color w:val="000000"/>
          <w:sz w:val="24"/>
          <w:szCs w:val="24"/>
          <w:lang w:eastAsia="ru-RU"/>
        </w:rPr>
        <w:t>.1</w:t>
      </w: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0C65EF" w:rsidRPr="007269A5">
        <w:rPr>
          <w:rFonts w:ascii="Times New Roman" w:hAnsi="Times New Roman"/>
          <w:color w:val="000000"/>
          <w:sz w:val="24"/>
          <w:szCs w:val="24"/>
          <w:lang w:eastAsia="ru-RU"/>
        </w:rPr>
        <w:t>. Подарки и услуги не должны ставить под сомнение имидж и деловую репутацию архива или его работника. Работник архива, получивший деловой  подарок, обязан сообщить об этом директору архива.</w:t>
      </w:r>
    </w:p>
    <w:p w:rsidR="0010218F" w:rsidRPr="007269A5" w:rsidRDefault="00640E55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3</w:t>
      </w:r>
      <w:r w:rsidR="000C65EF" w:rsidRPr="007269A5">
        <w:rPr>
          <w:rFonts w:ascii="Times New Roman" w:hAnsi="Times New Roman"/>
          <w:color w:val="000000"/>
          <w:sz w:val="24"/>
          <w:szCs w:val="24"/>
          <w:lang w:eastAsia="ru-RU"/>
        </w:rPr>
        <w:t>.1</w:t>
      </w: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0C65EF"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10218F" w:rsidRPr="007269A5">
        <w:rPr>
          <w:rFonts w:ascii="Times New Roman" w:hAnsi="Times New Roman"/>
          <w:color w:val="000000"/>
          <w:sz w:val="24"/>
          <w:szCs w:val="24"/>
          <w:lang w:eastAsia="ru-RU"/>
        </w:rPr>
        <w:t>Работник архива не вправе предлагать третьим лицам или пр</w:t>
      </w:r>
      <w:r w:rsidR="00B80713">
        <w:rPr>
          <w:rFonts w:ascii="Times New Roman" w:hAnsi="Times New Roman"/>
          <w:color w:val="000000"/>
          <w:sz w:val="24"/>
          <w:szCs w:val="24"/>
          <w:lang w:eastAsia="ru-RU"/>
        </w:rPr>
        <w:t>инимать от таковых подарки</w:t>
      </w:r>
      <w:r w:rsidR="0010218F"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стоимостью выше 3000 (трех тысяч) рублей. Если работнику архива  предлагаются подобные подарки или деньги он обязан немедленно сообщить об этом директору архива.</w:t>
      </w:r>
    </w:p>
    <w:p w:rsidR="006C0060" w:rsidRPr="007269A5" w:rsidRDefault="00640E55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3</w:t>
      </w:r>
      <w:r w:rsidR="0010218F" w:rsidRPr="007269A5">
        <w:rPr>
          <w:rFonts w:ascii="Times New Roman" w:hAnsi="Times New Roman"/>
          <w:color w:val="000000"/>
          <w:sz w:val="24"/>
          <w:szCs w:val="24"/>
          <w:lang w:eastAsia="ru-RU"/>
        </w:rPr>
        <w:t>.1</w:t>
      </w: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10218F"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Работник архива, которому при выполнении должностных обязанностей предлагаются подарки или иное вознаграждение, которые способны повлиять на  подготавливаемые </w:t>
      </w: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10218F" w:rsidRPr="007269A5">
        <w:rPr>
          <w:rFonts w:ascii="Times New Roman" w:hAnsi="Times New Roman"/>
          <w:color w:val="000000"/>
          <w:sz w:val="24"/>
          <w:szCs w:val="24"/>
          <w:lang w:eastAsia="ru-RU"/>
        </w:rPr>
        <w:t>/или принимаемые им решения или оказать  влияние на его действия (бездействи</w:t>
      </w:r>
      <w:r w:rsidR="006C0060" w:rsidRPr="007269A5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10218F" w:rsidRPr="007269A5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6C0060" w:rsidRPr="007269A5">
        <w:rPr>
          <w:rFonts w:ascii="Times New Roman" w:hAnsi="Times New Roman"/>
          <w:color w:val="000000"/>
          <w:sz w:val="24"/>
          <w:szCs w:val="24"/>
          <w:lang w:eastAsia="ru-RU"/>
        </w:rPr>
        <w:t>, должен:</w:t>
      </w:r>
    </w:p>
    <w:p w:rsidR="006C0060" w:rsidRPr="007269A5" w:rsidRDefault="006C0060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>- отказаться от них и немедленно уведомить директора о факте предложения подарка (вознаграждения);</w:t>
      </w:r>
    </w:p>
    <w:p w:rsidR="00BF6636" w:rsidRPr="007269A5" w:rsidRDefault="006C0060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10218F"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>по возможности исключить дальнейшие контакты с лицом, предложившим подарок или вознаграждение;</w:t>
      </w:r>
    </w:p>
    <w:p w:rsidR="006C0060" w:rsidRPr="007269A5" w:rsidRDefault="006C0060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>- в случае</w:t>
      </w:r>
      <w:proofErr w:type="gramStart"/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если подарок или вознаграждение не представляется возможным отклонить или вернуть, необходимо передать его с соответствующей служебной запиской для принятия мер директору архива и продолжить работу в установленном порядке над вопросом, с которым был связан подарок или вознаграждение.</w:t>
      </w:r>
    </w:p>
    <w:p w:rsidR="006C0060" w:rsidRPr="007269A5" w:rsidRDefault="00640E55" w:rsidP="007269A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7269A5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6C0060" w:rsidRPr="007269A5">
        <w:rPr>
          <w:rFonts w:ascii="Times New Roman" w:hAnsi="Times New Roman"/>
          <w:color w:val="000000"/>
          <w:sz w:val="24"/>
          <w:szCs w:val="24"/>
          <w:lang w:eastAsia="ru-RU"/>
        </w:rPr>
        <w:t>.1</w:t>
      </w: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6C0060" w:rsidRPr="007269A5">
        <w:rPr>
          <w:rFonts w:ascii="Times New Roman" w:hAnsi="Times New Roman"/>
          <w:color w:val="000000"/>
          <w:sz w:val="24"/>
          <w:szCs w:val="24"/>
          <w:lang w:eastAsia="ru-RU"/>
        </w:rPr>
        <w:t>. В случае возникновения конфликта интересов или возможности  его возникновения из-за получения делового подарка работник архива обязан в письменной форме  уведомить должностное лицо архива, ответственное за противодействие коррупции, в соответствии с процедурой раскрытия конфликта интересов.</w:t>
      </w:r>
    </w:p>
    <w:p w:rsidR="006C0060" w:rsidRPr="007269A5" w:rsidRDefault="00640E55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7269A5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>.14</w:t>
      </w:r>
      <w:r w:rsidR="006C0060" w:rsidRPr="007269A5">
        <w:rPr>
          <w:rFonts w:ascii="Times New Roman" w:hAnsi="Times New Roman"/>
          <w:color w:val="000000"/>
          <w:sz w:val="24"/>
          <w:szCs w:val="24"/>
          <w:lang w:eastAsia="ru-RU"/>
        </w:rPr>
        <w:t>. Работникам архива  запрещается:</w:t>
      </w:r>
    </w:p>
    <w:p w:rsidR="006C0060" w:rsidRPr="007269A5" w:rsidRDefault="006C0060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принимать  от организаций или третьих лиц</w:t>
      </w:r>
      <w:r w:rsidR="009C5AE4"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деловые подарки и знаки делового гостеприимства</w:t>
      </w:r>
      <w:r w:rsidR="00CC0FF3" w:rsidRPr="007269A5">
        <w:rPr>
          <w:rFonts w:ascii="Times New Roman" w:hAnsi="Times New Roman"/>
          <w:color w:val="000000"/>
          <w:sz w:val="24"/>
          <w:szCs w:val="24"/>
          <w:lang w:eastAsia="ru-RU"/>
        </w:rPr>
        <w:t>, так как</w:t>
      </w:r>
      <w:r w:rsidR="009C5AE4"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подобные действия могут повлиять или создать впечатление об их влиянии на принимаемые решения;</w:t>
      </w:r>
    </w:p>
    <w:p w:rsidR="009C5AE4" w:rsidRPr="007269A5" w:rsidRDefault="009C5AE4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>- принимать деловые подарки в ходе проведения торгов и во время прямых переговоров  при заключении договоров (контрактов);</w:t>
      </w:r>
    </w:p>
    <w:p w:rsidR="009C5AE4" w:rsidRPr="007269A5" w:rsidRDefault="009C5AE4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-просить, требовать, вынуждать организации или третьих лиц дарить им либо и</w:t>
      </w:r>
      <w:r w:rsidR="00CC0FF3" w:rsidRPr="007269A5">
        <w:rPr>
          <w:rFonts w:ascii="Times New Roman" w:hAnsi="Times New Roman"/>
          <w:color w:val="000000"/>
          <w:sz w:val="24"/>
          <w:szCs w:val="24"/>
          <w:lang w:eastAsia="ru-RU"/>
        </w:rPr>
        <w:t>х родственникам деловые подарки</w:t>
      </w: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9C5AE4" w:rsidRPr="007269A5" w:rsidRDefault="009C5AE4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>- принимать подарки в форме наличных, безналичных денежных средств, ценных бумаг, драгоценных металлов.</w:t>
      </w:r>
    </w:p>
    <w:p w:rsidR="001A1EE5" w:rsidRPr="007269A5" w:rsidRDefault="007269A5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126C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</w:t>
      </w:r>
      <w:r w:rsidR="001A1EE5" w:rsidRPr="007269A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CC0FF3" w:rsidRPr="007269A5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126CCA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1A1EE5"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</w:t>
      </w:r>
      <w:r w:rsidR="001A1EE5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любых сомнениях в правомерности или этичности своих действий работники обязаны    поставить    в    известность    </w:t>
      </w:r>
      <w:r w:rsidR="00CC0FF3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директора архива</w:t>
      </w:r>
      <w:r w:rsidR="001A1EE5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проконсультироваться с ним, прежде чем дарить или получать подарки, или участвовать в тех или иных представительских мероприятиях.</w:t>
      </w:r>
    </w:p>
    <w:p w:rsidR="0010216D" w:rsidRPr="007269A5" w:rsidRDefault="0010216D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1EE5" w:rsidRPr="007269A5" w:rsidRDefault="007269A5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269A5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1A1EE5" w:rsidRPr="007269A5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1A1EE5"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A1EE5" w:rsidRPr="007269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</w:t>
      </w:r>
      <w:r w:rsidR="0016159A" w:rsidRPr="007269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тветственность</w:t>
      </w:r>
    </w:p>
    <w:p w:rsidR="0010216D" w:rsidRPr="007269A5" w:rsidRDefault="0010216D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A1EE5" w:rsidRPr="007269A5" w:rsidRDefault="00E00B93" w:rsidP="007269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1A1EE5"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.1. </w:t>
      </w:r>
      <w:r w:rsidR="001A1EE5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Неисполнение настоящих Правил может стать основанием для применения к работнику </w:t>
      </w:r>
      <w:r w:rsidR="00CC0FF3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архива </w:t>
      </w:r>
      <w:r w:rsidR="001A1EE5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 дисциплинарного, административного, уголовного и гражданско-правового характера.</w:t>
      </w:r>
    </w:p>
    <w:sectPr w:rsidR="001A1EE5" w:rsidRPr="007269A5" w:rsidSect="00B457DD">
      <w:headerReference w:type="default" r:id="rId8"/>
      <w:headerReference w:type="firs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E2" w:rsidRDefault="00D05BE2" w:rsidP="0010216D">
      <w:pPr>
        <w:spacing w:after="0" w:line="240" w:lineRule="auto"/>
      </w:pPr>
      <w:r>
        <w:separator/>
      </w:r>
    </w:p>
  </w:endnote>
  <w:endnote w:type="continuationSeparator" w:id="0">
    <w:p w:rsidR="00D05BE2" w:rsidRDefault="00D05BE2" w:rsidP="0010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E2" w:rsidRDefault="00D05BE2" w:rsidP="0010216D">
      <w:pPr>
        <w:spacing w:after="0" w:line="240" w:lineRule="auto"/>
      </w:pPr>
      <w:r>
        <w:separator/>
      </w:r>
    </w:p>
  </w:footnote>
  <w:footnote w:type="continuationSeparator" w:id="0">
    <w:p w:rsidR="00D05BE2" w:rsidRDefault="00D05BE2" w:rsidP="0010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59854"/>
      <w:docPartObj>
        <w:docPartGallery w:val="Page Numbers (Top of Page)"/>
        <w:docPartUnique/>
      </w:docPartObj>
    </w:sdtPr>
    <w:sdtEndPr/>
    <w:sdtContent>
      <w:p w:rsidR="0010216D" w:rsidRDefault="0010216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BC2">
          <w:rPr>
            <w:noProof/>
          </w:rPr>
          <w:t>3</w:t>
        </w:r>
        <w:r>
          <w:fldChar w:fldCharType="end"/>
        </w:r>
      </w:p>
    </w:sdtContent>
  </w:sdt>
  <w:p w:rsidR="0010216D" w:rsidRDefault="0010216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DD" w:rsidRDefault="00B457DD">
    <w:pPr>
      <w:pStyle w:val="a8"/>
      <w:jc w:val="center"/>
    </w:pPr>
  </w:p>
  <w:p w:rsidR="00B457DD" w:rsidRDefault="00B457D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EE5"/>
    <w:rsid w:val="00052F20"/>
    <w:rsid w:val="00053CC6"/>
    <w:rsid w:val="000662E7"/>
    <w:rsid w:val="000716F3"/>
    <w:rsid w:val="00084BF0"/>
    <w:rsid w:val="000C65EF"/>
    <w:rsid w:val="0010216D"/>
    <w:rsid w:val="0010218F"/>
    <w:rsid w:val="00126CCA"/>
    <w:rsid w:val="001340D1"/>
    <w:rsid w:val="0016159A"/>
    <w:rsid w:val="00175C52"/>
    <w:rsid w:val="001A1EE5"/>
    <w:rsid w:val="001A56E9"/>
    <w:rsid w:val="00373848"/>
    <w:rsid w:val="003773A5"/>
    <w:rsid w:val="003C14C3"/>
    <w:rsid w:val="003F6159"/>
    <w:rsid w:val="00401346"/>
    <w:rsid w:val="00483661"/>
    <w:rsid w:val="004D0ED8"/>
    <w:rsid w:val="004E0F97"/>
    <w:rsid w:val="004E7CF8"/>
    <w:rsid w:val="00505E72"/>
    <w:rsid w:val="005D1EC9"/>
    <w:rsid w:val="005E3D4C"/>
    <w:rsid w:val="00640E55"/>
    <w:rsid w:val="006C0060"/>
    <w:rsid w:val="00722A50"/>
    <w:rsid w:val="00722B15"/>
    <w:rsid w:val="007233B0"/>
    <w:rsid w:val="007269A5"/>
    <w:rsid w:val="00734A18"/>
    <w:rsid w:val="007716E5"/>
    <w:rsid w:val="007C6BE3"/>
    <w:rsid w:val="007E5BC2"/>
    <w:rsid w:val="008409E8"/>
    <w:rsid w:val="008555F1"/>
    <w:rsid w:val="008F32BC"/>
    <w:rsid w:val="00915980"/>
    <w:rsid w:val="009C5AE4"/>
    <w:rsid w:val="009E280A"/>
    <w:rsid w:val="00A005FF"/>
    <w:rsid w:val="00A408BE"/>
    <w:rsid w:val="00B457DD"/>
    <w:rsid w:val="00B80713"/>
    <w:rsid w:val="00BA7BD0"/>
    <w:rsid w:val="00BF6636"/>
    <w:rsid w:val="00CC0FF3"/>
    <w:rsid w:val="00D05BE2"/>
    <w:rsid w:val="00E00B93"/>
    <w:rsid w:val="00E36E62"/>
    <w:rsid w:val="00E7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5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F615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F61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408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408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15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3F61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Subtitle"/>
    <w:basedOn w:val="a"/>
    <w:next w:val="a"/>
    <w:link w:val="a4"/>
    <w:qFormat/>
    <w:rsid w:val="003F61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3F61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a5">
    <w:name w:val="Strong"/>
    <w:basedOn w:val="a0"/>
    <w:qFormat/>
    <w:rsid w:val="003F6159"/>
    <w:rPr>
      <w:b/>
      <w:bCs/>
    </w:rPr>
  </w:style>
  <w:style w:type="character" w:styleId="a6">
    <w:name w:val="Emphasis"/>
    <w:basedOn w:val="a0"/>
    <w:qFormat/>
    <w:rsid w:val="003F6159"/>
    <w:rPr>
      <w:i/>
      <w:iCs/>
    </w:rPr>
  </w:style>
  <w:style w:type="paragraph" w:styleId="a7">
    <w:name w:val="List Paragraph"/>
    <w:basedOn w:val="a"/>
    <w:uiPriority w:val="34"/>
    <w:qFormat/>
    <w:rsid w:val="003F615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A408B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A408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A408B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/>
      <w:bCs/>
      <w:sz w:val="28"/>
      <w:szCs w:val="3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408BE"/>
    <w:rPr>
      <w:rFonts w:eastAsiaTheme="minorEastAsia"/>
      <w:bCs/>
      <w:sz w:val="28"/>
      <w:szCs w:val="30"/>
    </w:rPr>
  </w:style>
  <w:style w:type="paragraph" w:styleId="aa">
    <w:name w:val="footer"/>
    <w:basedOn w:val="a"/>
    <w:link w:val="ab"/>
    <w:uiPriority w:val="99"/>
    <w:unhideWhenUsed/>
    <w:rsid w:val="00102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216D"/>
    <w:rPr>
      <w:rFonts w:ascii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722A50"/>
    <w:rPr>
      <w:rFonts w:cs="Times New Roman"/>
      <w:b w:val="0"/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8F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32B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ККН</dc:creator>
  <cp:lastModifiedBy>Иванникова Елена Викторовна</cp:lastModifiedBy>
  <cp:revision>16</cp:revision>
  <cp:lastPrinted>2016-12-02T07:08:00Z</cp:lastPrinted>
  <dcterms:created xsi:type="dcterms:W3CDTF">2015-11-09T14:02:00Z</dcterms:created>
  <dcterms:modified xsi:type="dcterms:W3CDTF">2023-10-27T10:05:00Z</dcterms:modified>
</cp:coreProperties>
</file>